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C90" w:rsidRPr="00C35C90" w:rsidRDefault="000A0632" w:rsidP="00C35C90">
      <w:pPr>
        <w:ind w:right="640"/>
        <w:rPr>
          <w:sz w:val="16"/>
          <w:szCs w:val="16"/>
        </w:rPr>
      </w:pPr>
      <w:r w:rsidRPr="004E3308">
        <w:rPr>
          <w:sz w:val="32"/>
        </w:rPr>
        <w:t xml:space="preserve">  </w:t>
      </w:r>
      <w:r w:rsidR="009D5927">
        <w:rPr>
          <w:noProof/>
        </w:rPr>
        <w:drawing>
          <wp:inline distT="0" distB="0" distL="0" distR="0">
            <wp:extent cx="175260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323850"/>
                    </a:xfrm>
                    <a:prstGeom prst="rect">
                      <a:avLst/>
                    </a:prstGeom>
                    <a:noFill/>
                    <a:ln>
                      <a:noFill/>
                    </a:ln>
                  </pic:spPr>
                </pic:pic>
              </a:graphicData>
            </a:graphic>
          </wp:inline>
        </w:drawing>
      </w:r>
      <w:r w:rsidRPr="004E3308">
        <w:rPr>
          <w:sz w:val="32"/>
        </w:rPr>
        <w:t xml:space="preserve">               </w:t>
      </w:r>
      <w:r w:rsidR="000C011B" w:rsidRPr="00980FE5">
        <w:rPr>
          <w:sz w:val="32"/>
        </w:rPr>
        <w:t xml:space="preserve">                              </w:t>
      </w:r>
      <w:proofErr w:type="spellStart"/>
      <w:r w:rsidR="00C35C90" w:rsidRPr="00C35C90">
        <w:rPr>
          <w:sz w:val="16"/>
          <w:szCs w:val="16"/>
        </w:rPr>
        <w:t>Appendix</w:t>
      </w:r>
      <w:proofErr w:type="spellEnd"/>
      <w:r w:rsidR="00C35C90" w:rsidRPr="00C35C90">
        <w:rPr>
          <w:sz w:val="16"/>
          <w:szCs w:val="16"/>
        </w:rPr>
        <w:t xml:space="preserve"> </w:t>
      </w:r>
      <w:proofErr w:type="spellStart"/>
      <w:r w:rsidR="00C35C90" w:rsidRPr="00C35C90">
        <w:rPr>
          <w:sz w:val="16"/>
          <w:szCs w:val="16"/>
        </w:rPr>
        <w:t>No</w:t>
      </w:r>
      <w:proofErr w:type="spellEnd"/>
      <w:r w:rsidR="00C35C90" w:rsidRPr="00C35C90">
        <w:rPr>
          <w:sz w:val="16"/>
          <w:szCs w:val="16"/>
        </w:rPr>
        <w:t>. 4.9</w:t>
      </w:r>
    </w:p>
    <w:p w:rsidR="000C011B" w:rsidRPr="00C35C90" w:rsidRDefault="00C35C90" w:rsidP="00C35C90">
      <w:pPr>
        <w:ind w:right="640"/>
        <w:jc w:val="right"/>
        <w:rPr>
          <w:sz w:val="32"/>
          <w:lang w:val="en-US"/>
        </w:rPr>
      </w:pPr>
      <w:r w:rsidRPr="00C35C90">
        <w:rPr>
          <w:sz w:val="16"/>
          <w:szCs w:val="16"/>
          <w:lang w:val="en-US"/>
        </w:rPr>
        <w:t>To the rules of the customer service department</w:t>
      </w:r>
    </w:p>
    <w:p w:rsidR="000A0632" w:rsidRPr="00C35C90" w:rsidRDefault="000A0632" w:rsidP="000A0632">
      <w:pPr>
        <w:rPr>
          <w:sz w:val="32"/>
          <w:lang w:val="en-US"/>
        </w:rPr>
      </w:pPr>
    </w:p>
    <w:p w:rsidR="007412B0" w:rsidRPr="00C35C90" w:rsidRDefault="007412B0" w:rsidP="00B5348A">
      <w:pPr>
        <w:jc w:val="center"/>
        <w:rPr>
          <w:b/>
          <w:sz w:val="28"/>
          <w:szCs w:val="28"/>
          <w:u w:val="single"/>
          <w:lang w:val="en-US"/>
        </w:rPr>
      </w:pPr>
    </w:p>
    <w:p w:rsidR="007412B0" w:rsidRPr="00E44A60" w:rsidRDefault="00E44A60" w:rsidP="00B5348A">
      <w:pPr>
        <w:jc w:val="center"/>
        <w:rPr>
          <w:b/>
          <w:sz w:val="28"/>
          <w:szCs w:val="28"/>
          <w:lang w:val="en-US"/>
        </w:rPr>
      </w:pPr>
      <w:r>
        <w:rPr>
          <w:b/>
          <w:sz w:val="28"/>
          <w:szCs w:val="28"/>
          <w:u w:val="single"/>
          <w:lang w:val="en-US"/>
        </w:rPr>
        <w:t>“</w:t>
      </w:r>
      <w:proofErr w:type="spellStart"/>
      <w:r w:rsidRPr="00E44A60">
        <w:rPr>
          <w:b/>
          <w:sz w:val="28"/>
          <w:szCs w:val="28"/>
          <w:u w:val="single"/>
          <w:lang w:val="en-US"/>
        </w:rPr>
        <w:t>Shinhan</w:t>
      </w:r>
      <w:proofErr w:type="spellEnd"/>
      <w:r w:rsidRPr="00E44A60">
        <w:rPr>
          <w:b/>
          <w:sz w:val="28"/>
          <w:szCs w:val="28"/>
          <w:u w:val="single"/>
          <w:lang w:val="en-US"/>
        </w:rPr>
        <w:t xml:space="preserve"> Bank Kazakhstan</w:t>
      </w:r>
      <w:r>
        <w:rPr>
          <w:b/>
          <w:sz w:val="28"/>
          <w:szCs w:val="28"/>
          <w:u w:val="single"/>
          <w:lang w:val="en-US"/>
        </w:rPr>
        <w:t>”</w:t>
      </w:r>
      <w:r w:rsidRPr="00E44A60">
        <w:rPr>
          <w:b/>
          <w:sz w:val="28"/>
          <w:szCs w:val="28"/>
          <w:u w:val="single"/>
          <w:lang w:val="en-US"/>
        </w:rPr>
        <w:t xml:space="preserve"> JSC</w:t>
      </w:r>
    </w:p>
    <w:p w:rsidR="000A0632" w:rsidRPr="00E44A60" w:rsidRDefault="00E44A60" w:rsidP="000A0632">
      <w:pPr>
        <w:pStyle w:val="a3"/>
        <w:jc w:val="center"/>
        <w:rPr>
          <w:szCs w:val="28"/>
          <w:lang w:val="en-US"/>
        </w:rPr>
      </w:pPr>
      <w:r w:rsidRPr="00E44A60">
        <w:rPr>
          <w:b/>
          <w:szCs w:val="28"/>
          <w:lang w:val="en-US"/>
        </w:rPr>
        <w:t>Informational Checklist defining the list of documents for opening a bank account for private notaries, private bailiffs, lawyers and professional mediators - residents of the Republic of Kazakhstan</w:t>
      </w:r>
    </w:p>
    <w:p w:rsidR="000A0632" w:rsidRPr="00E44A60" w:rsidRDefault="000A0632" w:rsidP="000A0632">
      <w:pPr>
        <w:pStyle w:val="a3"/>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320"/>
      </w:tblGrid>
      <w:tr w:rsidR="000A0632" w:rsidRPr="00E44A60">
        <w:trPr>
          <w:trHeight w:val="567"/>
        </w:trPr>
        <w:tc>
          <w:tcPr>
            <w:tcW w:w="426" w:type="dxa"/>
          </w:tcPr>
          <w:p w:rsidR="000A0632" w:rsidRPr="00062D52" w:rsidRDefault="00062D52" w:rsidP="00062D52">
            <w:pPr>
              <w:pStyle w:val="a3"/>
              <w:jc w:val="center"/>
              <w:rPr>
                <w:sz w:val="20"/>
              </w:rPr>
            </w:pPr>
            <w:r>
              <w:rPr>
                <w:sz w:val="20"/>
              </w:rPr>
              <w:t>1</w:t>
            </w:r>
          </w:p>
        </w:tc>
        <w:tc>
          <w:tcPr>
            <w:tcW w:w="9320" w:type="dxa"/>
          </w:tcPr>
          <w:p w:rsidR="000A0632" w:rsidRPr="00E44A60" w:rsidRDefault="00E44A60" w:rsidP="000A0632">
            <w:pPr>
              <w:pStyle w:val="a3"/>
              <w:jc w:val="left"/>
              <w:rPr>
                <w:sz w:val="20"/>
                <w:lang w:val="en-US"/>
              </w:rPr>
            </w:pPr>
            <w:r w:rsidRPr="00E44A60">
              <w:rPr>
                <w:sz w:val="20"/>
                <w:lang w:val="en-US"/>
              </w:rPr>
              <w:t>Application for opening a bank account (bank form completed by the applicant company);</w:t>
            </w:r>
          </w:p>
        </w:tc>
      </w:tr>
      <w:tr w:rsidR="00CC097C" w:rsidRPr="00E44A60">
        <w:trPr>
          <w:trHeight w:val="567"/>
        </w:trPr>
        <w:tc>
          <w:tcPr>
            <w:tcW w:w="426" w:type="dxa"/>
          </w:tcPr>
          <w:p w:rsidR="00CC097C" w:rsidRPr="00062D52" w:rsidRDefault="00062D52" w:rsidP="00062D52">
            <w:pPr>
              <w:pStyle w:val="a3"/>
              <w:jc w:val="center"/>
              <w:rPr>
                <w:sz w:val="20"/>
              </w:rPr>
            </w:pPr>
            <w:r w:rsidRPr="00062D52">
              <w:rPr>
                <w:sz w:val="20"/>
              </w:rPr>
              <w:t>2</w:t>
            </w:r>
          </w:p>
        </w:tc>
        <w:tc>
          <w:tcPr>
            <w:tcW w:w="9320" w:type="dxa"/>
          </w:tcPr>
          <w:p w:rsidR="00CC097C" w:rsidRPr="00E44A60" w:rsidRDefault="00E44A60" w:rsidP="00167592">
            <w:pPr>
              <w:pStyle w:val="a3"/>
              <w:jc w:val="left"/>
              <w:rPr>
                <w:sz w:val="20"/>
                <w:lang w:val="en-US"/>
              </w:rPr>
            </w:pPr>
            <w:r w:rsidRPr="00E44A60">
              <w:rPr>
                <w:sz w:val="20"/>
                <w:lang w:val="en-US"/>
              </w:rPr>
              <w:t>A document with samples of signatures and a seal imprint (it is not required to affix a seal if it is absent);</w:t>
            </w:r>
          </w:p>
        </w:tc>
      </w:tr>
      <w:tr w:rsidR="000A0632" w:rsidRPr="00E44A60" w:rsidTr="00793ACB">
        <w:trPr>
          <w:trHeight w:val="1005"/>
        </w:trPr>
        <w:tc>
          <w:tcPr>
            <w:tcW w:w="426" w:type="dxa"/>
          </w:tcPr>
          <w:p w:rsidR="000A0632" w:rsidRPr="00062D52" w:rsidRDefault="00062D52" w:rsidP="00062D52">
            <w:pPr>
              <w:pStyle w:val="a3"/>
              <w:jc w:val="center"/>
              <w:rPr>
                <w:sz w:val="20"/>
              </w:rPr>
            </w:pPr>
            <w:r>
              <w:rPr>
                <w:sz w:val="20"/>
              </w:rPr>
              <w:t>3</w:t>
            </w:r>
          </w:p>
        </w:tc>
        <w:tc>
          <w:tcPr>
            <w:tcW w:w="9320" w:type="dxa"/>
          </w:tcPr>
          <w:p w:rsidR="000A0632" w:rsidRPr="00E44A60" w:rsidRDefault="00E44A60" w:rsidP="00793ACB">
            <w:pPr>
              <w:pStyle w:val="a3"/>
              <w:jc w:val="left"/>
              <w:rPr>
                <w:sz w:val="20"/>
                <w:lang w:val="en-US"/>
              </w:rPr>
            </w:pPr>
            <w:r w:rsidRPr="00E44A60">
              <w:rPr>
                <w:sz w:val="20"/>
                <w:lang w:val="en-US"/>
              </w:rPr>
              <w:t>A copy of the license for the right to engage in notarial / advocacy / activity for the execution of executive documents or a certificate for the right to engage in professional mediation activities or a copy of the electronic license obtained through the state database “E-licensing (notaries / advocates);</w:t>
            </w:r>
          </w:p>
        </w:tc>
      </w:tr>
      <w:tr w:rsidR="000A0632" w:rsidRPr="00E408C8">
        <w:trPr>
          <w:trHeight w:val="851"/>
        </w:trPr>
        <w:tc>
          <w:tcPr>
            <w:tcW w:w="426" w:type="dxa"/>
          </w:tcPr>
          <w:p w:rsidR="000A0632" w:rsidRPr="00062D52" w:rsidRDefault="00062D52" w:rsidP="00062D52">
            <w:pPr>
              <w:pStyle w:val="a3"/>
              <w:jc w:val="center"/>
              <w:rPr>
                <w:sz w:val="20"/>
              </w:rPr>
            </w:pPr>
            <w:r>
              <w:rPr>
                <w:sz w:val="20"/>
              </w:rPr>
              <w:t>4</w:t>
            </w:r>
          </w:p>
        </w:tc>
        <w:tc>
          <w:tcPr>
            <w:tcW w:w="9320" w:type="dxa"/>
          </w:tcPr>
          <w:p w:rsidR="000A0632" w:rsidRPr="00062D52" w:rsidRDefault="00E44A60" w:rsidP="000A0632">
            <w:pPr>
              <w:pStyle w:val="a3"/>
              <w:rPr>
                <w:sz w:val="20"/>
              </w:rPr>
            </w:pPr>
            <w:proofErr w:type="spellStart"/>
            <w:r w:rsidRPr="00E44A60">
              <w:rPr>
                <w:rStyle w:val="s0"/>
              </w:rPr>
              <w:t>Identity</w:t>
            </w:r>
            <w:proofErr w:type="spellEnd"/>
            <w:r w:rsidRPr="00E44A60">
              <w:rPr>
                <w:rStyle w:val="s0"/>
              </w:rPr>
              <w:t xml:space="preserve"> </w:t>
            </w:r>
            <w:proofErr w:type="spellStart"/>
            <w:r w:rsidRPr="00E44A60">
              <w:rPr>
                <w:rStyle w:val="s0"/>
              </w:rPr>
              <w:t>document</w:t>
            </w:r>
            <w:proofErr w:type="spellEnd"/>
            <w:r w:rsidRPr="00E44A60">
              <w:rPr>
                <w:rStyle w:val="s0"/>
              </w:rPr>
              <w:t>.</w:t>
            </w:r>
          </w:p>
        </w:tc>
      </w:tr>
      <w:tr w:rsidR="00980FE5" w:rsidRPr="00E44A60">
        <w:trPr>
          <w:trHeight w:val="851"/>
        </w:trPr>
        <w:tc>
          <w:tcPr>
            <w:tcW w:w="426" w:type="dxa"/>
          </w:tcPr>
          <w:p w:rsidR="00980FE5" w:rsidRPr="00980FE5" w:rsidRDefault="00980FE5" w:rsidP="00062D52">
            <w:pPr>
              <w:pStyle w:val="a3"/>
              <w:jc w:val="center"/>
              <w:rPr>
                <w:sz w:val="20"/>
                <w:lang w:val="en-US"/>
              </w:rPr>
            </w:pPr>
            <w:r>
              <w:rPr>
                <w:sz w:val="20"/>
                <w:lang w:val="en-US"/>
              </w:rPr>
              <w:t>5</w:t>
            </w:r>
          </w:p>
        </w:tc>
        <w:tc>
          <w:tcPr>
            <w:tcW w:w="9320" w:type="dxa"/>
          </w:tcPr>
          <w:p w:rsidR="00980FE5" w:rsidRPr="00E44A60" w:rsidRDefault="00E44A60" w:rsidP="00980FE5">
            <w:pPr>
              <w:jc w:val="both"/>
              <w:rPr>
                <w:rStyle w:val="s0"/>
                <w:lang w:val="en-US"/>
              </w:rPr>
            </w:pPr>
            <w:r w:rsidRPr="00E44A60">
              <w:rPr>
                <w:rStyle w:val="s0"/>
                <w:lang w:val="en-US"/>
              </w:rPr>
              <w:t>An individual's questionnaire in the form established by the bank</w:t>
            </w:r>
          </w:p>
        </w:tc>
      </w:tr>
    </w:tbl>
    <w:p w:rsidR="000A0632" w:rsidRPr="00E44A60" w:rsidRDefault="000A0632" w:rsidP="000A0632">
      <w:pPr>
        <w:pStyle w:val="a3"/>
        <w:jc w:val="left"/>
        <w:rPr>
          <w:b/>
          <w:i/>
          <w:lang w:val="en-US"/>
        </w:rPr>
      </w:pPr>
    </w:p>
    <w:p w:rsidR="00541E30" w:rsidRPr="00E44A60" w:rsidRDefault="00E44A60" w:rsidP="000A0632">
      <w:pPr>
        <w:pStyle w:val="a3"/>
        <w:jc w:val="left"/>
        <w:rPr>
          <w:b/>
          <w:i/>
          <w:lang w:val="en-US"/>
        </w:rPr>
      </w:pPr>
      <w:r w:rsidRPr="00E44A60">
        <w:rPr>
          <w:rStyle w:val="s0"/>
          <w:color w:val="000000" w:themeColor="text1"/>
          <w:sz w:val="24"/>
          <w:szCs w:val="24"/>
          <w:u w:val="single"/>
          <w:lang w:val="en-US"/>
        </w:rPr>
        <w:t xml:space="preserve">Originals or notarized copies of documents </w:t>
      </w:r>
      <w:proofErr w:type="gramStart"/>
      <w:r w:rsidRPr="00E44A60">
        <w:rPr>
          <w:rStyle w:val="s0"/>
          <w:color w:val="000000" w:themeColor="text1"/>
          <w:sz w:val="24"/>
          <w:szCs w:val="24"/>
          <w:u w:val="single"/>
          <w:lang w:val="en-US"/>
        </w:rPr>
        <w:t>are provided</w:t>
      </w:r>
      <w:proofErr w:type="gramEnd"/>
      <w:r w:rsidRPr="00E44A60">
        <w:rPr>
          <w:rStyle w:val="s0"/>
          <w:color w:val="000000" w:themeColor="text1"/>
          <w:sz w:val="24"/>
          <w:szCs w:val="24"/>
          <w:u w:val="single"/>
          <w:lang w:val="en-US"/>
        </w:rPr>
        <w:t>.</w:t>
      </w:r>
    </w:p>
    <w:p w:rsidR="000A0632" w:rsidRPr="00E44A60" w:rsidRDefault="00E44A60" w:rsidP="00E44A60">
      <w:pPr>
        <w:jc w:val="both"/>
        <w:rPr>
          <w:lang w:val="en-US"/>
        </w:rPr>
      </w:pPr>
      <w:r w:rsidRPr="00E44A60">
        <w:rPr>
          <w:lang w:val="en-US"/>
        </w:rPr>
        <w:t xml:space="preserve">Depending on the types of accounts to </w:t>
      </w:r>
      <w:proofErr w:type="gramStart"/>
      <w:r w:rsidRPr="00E44A60">
        <w:rPr>
          <w:lang w:val="en-US"/>
        </w:rPr>
        <w:t>be opened</w:t>
      </w:r>
      <w:proofErr w:type="gramEnd"/>
      <w:r w:rsidRPr="00E44A60">
        <w:rPr>
          <w:lang w:val="en-US"/>
        </w:rPr>
        <w:t xml:space="preserve"> and the legal personality of the client, the Bank has the right to require the provision of additional documents, if this is directly established by the legislation of the Republic of Kazakhstan or the Bank.</w:t>
      </w:r>
      <w:bookmarkStart w:id="0" w:name="_GoBack"/>
      <w:bookmarkEnd w:id="0"/>
    </w:p>
    <w:sectPr w:rsidR="000A0632" w:rsidRPr="00E44A60" w:rsidSect="000A0632">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D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43A62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BDF191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32"/>
    <w:rsid w:val="00062D52"/>
    <w:rsid w:val="0006701A"/>
    <w:rsid w:val="000A0632"/>
    <w:rsid w:val="000C011B"/>
    <w:rsid w:val="00167592"/>
    <w:rsid w:val="002261E7"/>
    <w:rsid w:val="0025674F"/>
    <w:rsid w:val="00290B18"/>
    <w:rsid w:val="004A091D"/>
    <w:rsid w:val="00523FA0"/>
    <w:rsid w:val="00541E30"/>
    <w:rsid w:val="00584C53"/>
    <w:rsid w:val="005A5193"/>
    <w:rsid w:val="00606AAF"/>
    <w:rsid w:val="006D4513"/>
    <w:rsid w:val="006E601F"/>
    <w:rsid w:val="007412B0"/>
    <w:rsid w:val="007757C4"/>
    <w:rsid w:val="00793ACB"/>
    <w:rsid w:val="007C03AC"/>
    <w:rsid w:val="008343B6"/>
    <w:rsid w:val="008647F7"/>
    <w:rsid w:val="00980FE5"/>
    <w:rsid w:val="009B0358"/>
    <w:rsid w:val="009D5927"/>
    <w:rsid w:val="00A347C2"/>
    <w:rsid w:val="00A62E0A"/>
    <w:rsid w:val="00B5348A"/>
    <w:rsid w:val="00B53800"/>
    <w:rsid w:val="00C35C90"/>
    <w:rsid w:val="00CC097C"/>
    <w:rsid w:val="00D6662D"/>
    <w:rsid w:val="00DB1B2C"/>
    <w:rsid w:val="00DF160A"/>
    <w:rsid w:val="00E44A60"/>
    <w:rsid w:val="00EA666A"/>
    <w:rsid w:val="00EC629D"/>
    <w:rsid w:val="00EE2ED1"/>
    <w:rsid w:val="00F03A87"/>
    <w:rsid w:val="00F8164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10348"/>
  <w15:docId w15:val="{8DD8686B-383A-41EF-9A0F-69B02752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632"/>
    <w:rPr>
      <w:rFonts w:eastAsia="Times New Roman"/>
    </w:rPr>
  </w:style>
  <w:style w:type="paragraph" w:styleId="3">
    <w:name w:val="heading 3"/>
    <w:basedOn w:val="a"/>
    <w:next w:val="a"/>
    <w:qFormat/>
    <w:rsid w:val="000A06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0632"/>
    <w:pPr>
      <w:jc w:val="both"/>
    </w:pPr>
    <w:rPr>
      <w:sz w:val="28"/>
    </w:rPr>
  </w:style>
  <w:style w:type="character" w:customStyle="1" w:styleId="s0">
    <w:name w:val="s0"/>
    <w:basedOn w:val="a0"/>
    <w:rsid w:val="00062D52"/>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alloon Text"/>
    <w:basedOn w:val="a"/>
    <w:link w:val="a5"/>
    <w:rsid w:val="006E601F"/>
    <w:rPr>
      <w:rFonts w:ascii="Tahoma" w:hAnsi="Tahoma" w:cs="Tahoma"/>
      <w:sz w:val="16"/>
      <w:szCs w:val="16"/>
    </w:rPr>
  </w:style>
  <w:style w:type="character" w:customStyle="1" w:styleId="a5">
    <w:name w:val="Текст выноски Знак"/>
    <w:basedOn w:val="a0"/>
    <w:link w:val="a4"/>
    <w:rsid w:val="006E60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783677">
      <w:bodyDiv w:val="1"/>
      <w:marLeft w:val="0"/>
      <w:marRight w:val="0"/>
      <w:marTop w:val="0"/>
      <w:marBottom w:val="0"/>
      <w:divBdr>
        <w:top w:val="none" w:sz="0" w:space="0" w:color="auto"/>
        <w:left w:val="none" w:sz="0" w:space="0" w:color="auto"/>
        <w:bottom w:val="none" w:sz="0" w:space="0" w:color="auto"/>
        <w:right w:val="none" w:sz="0" w:space="0" w:color="auto"/>
      </w:divBdr>
    </w:div>
    <w:div w:id="94157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188</Words>
  <Characters>1077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Информационный Чек-лист для</vt:lpstr>
    </vt:vector>
  </TitlesOfParts>
  <Company>shinhanbank</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Чек-лист для</dc:title>
  <dc:creator>Ainur</dc:creator>
  <cp:lastModifiedBy>Windows User</cp:lastModifiedBy>
  <cp:revision>9</cp:revision>
  <cp:lastPrinted>2016-08-23T07:21:00Z</cp:lastPrinted>
  <dcterms:created xsi:type="dcterms:W3CDTF">2016-04-28T06:40:00Z</dcterms:created>
  <dcterms:modified xsi:type="dcterms:W3CDTF">2021-02-06T07:33:00Z</dcterms:modified>
</cp:coreProperties>
</file>